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02" w:rsidRPr="003B7245" w:rsidRDefault="005B5E02" w:rsidP="000F5C88">
      <w:pPr>
        <w:jc w:val="right"/>
        <w:rPr>
          <w:sz w:val="26"/>
          <w:szCs w:val="26"/>
        </w:rPr>
      </w:pPr>
    </w:p>
    <w:p w:rsidR="00C13432" w:rsidRPr="003B7245" w:rsidRDefault="00C13432">
      <w:pPr>
        <w:rPr>
          <w:rFonts w:cs="Arial"/>
          <w:sz w:val="26"/>
          <w:szCs w:val="26"/>
        </w:rPr>
      </w:pPr>
      <w:bookmarkStart w:id="0" w:name="_GoBack"/>
      <w:bookmarkEnd w:id="0"/>
    </w:p>
    <w:p w:rsidR="000F5C88" w:rsidRPr="003B7245" w:rsidRDefault="000F5C88">
      <w:pPr>
        <w:rPr>
          <w:rFonts w:cs="Arial"/>
          <w:b/>
          <w:sz w:val="26"/>
          <w:szCs w:val="26"/>
        </w:rPr>
      </w:pPr>
      <w:r w:rsidRPr="003B7245">
        <w:rPr>
          <w:rFonts w:cs="Arial"/>
          <w:b/>
          <w:sz w:val="26"/>
          <w:szCs w:val="26"/>
        </w:rPr>
        <w:t xml:space="preserve">Xenofit </w:t>
      </w:r>
      <w:r w:rsidR="00EC616B" w:rsidRPr="003B7245">
        <w:rPr>
          <w:rFonts w:cs="Arial"/>
          <w:b/>
          <w:sz w:val="26"/>
          <w:szCs w:val="26"/>
        </w:rPr>
        <w:t xml:space="preserve">Magnesium </w:t>
      </w:r>
      <w:r w:rsidR="00D76961" w:rsidRPr="003B7245">
        <w:rPr>
          <w:rFonts w:cs="Arial"/>
          <w:b/>
          <w:sz w:val="26"/>
          <w:szCs w:val="26"/>
        </w:rPr>
        <w:t xml:space="preserve">400 </w:t>
      </w:r>
      <w:proofErr w:type="spellStart"/>
      <w:r w:rsidR="00EC616B" w:rsidRPr="003B7245">
        <w:rPr>
          <w:rFonts w:cs="Arial"/>
          <w:b/>
          <w:sz w:val="26"/>
          <w:szCs w:val="26"/>
        </w:rPr>
        <w:t>direct</w:t>
      </w:r>
      <w:proofErr w:type="spellEnd"/>
      <w:r w:rsidR="00EC616B" w:rsidRPr="003B7245">
        <w:rPr>
          <w:rFonts w:cs="Arial"/>
          <w:b/>
          <w:sz w:val="26"/>
          <w:szCs w:val="26"/>
        </w:rPr>
        <w:t xml:space="preserve"> Stixx</w:t>
      </w:r>
    </w:p>
    <w:p w:rsidR="000F5C88" w:rsidRPr="003B7245" w:rsidRDefault="000F5C88">
      <w:pPr>
        <w:rPr>
          <w:rFonts w:cs="Arial"/>
          <w:sz w:val="20"/>
          <w:szCs w:val="20"/>
        </w:rPr>
      </w:pPr>
    </w:p>
    <w:p w:rsidR="003B7245" w:rsidRPr="003B7245" w:rsidRDefault="003B7245" w:rsidP="003B7245">
      <w:pPr>
        <w:autoSpaceDE w:val="0"/>
        <w:autoSpaceDN w:val="0"/>
        <w:adjustRightInd w:val="0"/>
        <w:rPr>
          <w:rFonts w:cs="Arial"/>
          <w:sz w:val="20"/>
          <w:szCs w:val="20"/>
        </w:rPr>
      </w:pPr>
      <w:r w:rsidRPr="003B7245">
        <w:rPr>
          <w:rFonts w:cs="Arial"/>
          <w:sz w:val="20"/>
          <w:szCs w:val="20"/>
        </w:rPr>
        <w:t>Magnesium ist wichtig u. a. für die Muskeln und Nerven, für einen normalen Energiestoffwechsel, für gesunde Knochen und für das Elektrolytgleichgewicht. Der menschliche Körper ist nicht in der Lage, Magnesium selbst herzustellen. Jeder energieabhängige Prozess im Körper ist auf Magnesium angewiesen, Muskeltätigkeiten, gesunde Knochen und die effektive Verteilung anderer Mineralstoffe im Organismus wird von Magnesium beeinflusst. Der Mineralstoff ist somit unerlässlich für die Leistungsbereitschaft. Da der menschliche Körper organisches Magnesium- und Kaliumcitrat besonders gut aufnehmen kann, verwenden wir nur diese hochwertigen Salze.</w:t>
      </w:r>
    </w:p>
    <w:p w:rsidR="003B7245" w:rsidRPr="00D30A79" w:rsidRDefault="003B7245">
      <w:pPr>
        <w:rPr>
          <w:rFonts w:cs="Arial"/>
          <w:sz w:val="20"/>
          <w:szCs w:val="20"/>
        </w:rPr>
      </w:pPr>
    </w:p>
    <w:p w:rsidR="00D30A79" w:rsidRPr="00D30A79" w:rsidRDefault="00D30A79" w:rsidP="00D30A79">
      <w:pPr>
        <w:autoSpaceDE w:val="0"/>
        <w:autoSpaceDN w:val="0"/>
        <w:adjustRightInd w:val="0"/>
        <w:rPr>
          <w:rFonts w:cs="Arial"/>
          <w:sz w:val="20"/>
          <w:szCs w:val="20"/>
        </w:rPr>
      </w:pPr>
      <w:r w:rsidRPr="00D30A79">
        <w:rPr>
          <w:rFonts w:cs="Arial"/>
          <w:sz w:val="20"/>
          <w:szCs w:val="20"/>
        </w:rPr>
        <w:t>Das Direkt-Granulat zum Verzehr ohne Flüssigkeit – zuckerfrei, mit Xylit!</w:t>
      </w:r>
    </w:p>
    <w:p w:rsidR="00AF0954" w:rsidRPr="00D30A79" w:rsidRDefault="00D30A79" w:rsidP="00D30A79">
      <w:pPr>
        <w:autoSpaceDE w:val="0"/>
        <w:autoSpaceDN w:val="0"/>
        <w:adjustRightInd w:val="0"/>
        <w:rPr>
          <w:rFonts w:cs="Arial"/>
          <w:sz w:val="20"/>
          <w:szCs w:val="20"/>
        </w:rPr>
      </w:pPr>
      <w:r w:rsidRPr="00D30A79">
        <w:rPr>
          <w:rFonts w:cs="Arial"/>
          <w:sz w:val="20"/>
          <w:szCs w:val="20"/>
        </w:rPr>
        <w:t>Jeder energieabhängige Prozess im Körper ist auf Magnesium angewiesen, Magnesium wird für mehr als 600 Stoffwechselvorgänge benötigt. Der Mineralstoff ist</w:t>
      </w:r>
      <w:r>
        <w:rPr>
          <w:rFonts w:cs="Arial"/>
          <w:sz w:val="20"/>
          <w:szCs w:val="20"/>
        </w:rPr>
        <w:t xml:space="preserve"> </w:t>
      </w:r>
      <w:r w:rsidRPr="00D30A79">
        <w:rPr>
          <w:rFonts w:cs="Arial"/>
          <w:sz w:val="20"/>
          <w:szCs w:val="20"/>
        </w:rPr>
        <w:t>somit unerlässlich für die Leistungsbereitschaft und das Zusammenspiel zwischen Muskeln und Nerven. Es erfüllt wichtige Funktionen im Energie- und Eiweißstoffwechsel,</w:t>
      </w:r>
      <w:r>
        <w:rPr>
          <w:rFonts w:cs="Arial"/>
          <w:sz w:val="20"/>
          <w:szCs w:val="20"/>
        </w:rPr>
        <w:t xml:space="preserve"> </w:t>
      </w:r>
      <w:r w:rsidRPr="00D30A79">
        <w:rPr>
          <w:rFonts w:cs="Arial"/>
          <w:sz w:val="20"/>
          <w:szCs w:val="20"/>
        </w:rPr>
        <w:t>dem Elektrolythaushalt und die geistige Leistung. Es trägt außerdem zur Verringerung von Müdigkeit und Erschöpfung bei.</w:t>
      </w:r>
    </w:p>
    <w:p w:rsidR="00D30A79" w:rsidRPr="00D30A79" w:rsidRDefault="00D30A79" w:rsidP="00D30A79">
      <w:pPr>
        <w:autoSpaceDE w:val="0"/>
        <w:autoSpaceDN w:val="0"/>
        <w:adjustRightInd w:val="0"/>
        <w:rPr>
          <w:rStyle w:val="d2edcug0"/>
          <w:rFonts w:cs="Arial"/>
          <w:sz w:val="20"/>
          <w:szCs w:val="20"/>
        </w:rPr>
      </w:pPr>
    </w:p>
    <w:p w:rsidR="00F00CC9" w:rsidRPr="003B7245" w:rsidRDefault="001219DC">
      <w:pPr>
        <w:rPr>
          <w:rFonts w:cs="Arial"/>
          <w:sz w:val="20"/>
          <w:szCs w:val="20"/>
        </w:rPr>
      </w:pPr>
      <w:r w:rsidRPr="003B7245">
        <w:rPr>
          <w:rFonts w:cs="Arial"/>
          <w:sz w:val="20"/>
          <w:szCs w:val="20"/>
        </w:rPr>
        <w:t>Empfehlung:</w:t>
      </w:r>
    </w:p>
    <w:p w:rsidR="00AF0954" w:rsidRPr="003B7245" w:rsidRDefault="001219DC">
      <w:pPr>
        <w:rPr>
          <w:rFonts w:cs="Arial"/>
          <w:sz w:val="20"/>
          <w:szCs w:val="20"/>
        </w:rPr>
      </w:pPr>
      <w:r w:rsidRPr="003B7245">
        <w:rPr>
          <w:rFonts w:cs="Arial"/>
          <w:sz w:val="20"/>
          <w:szCs w:val="20"/>
        </w:rPr>
        <w:t>1 Stick bei Bedarf – ideal für unterwegs</w:t>
      </w:r>
    </w:p>
    <w:p w:rsidR="006625CF" w:rsidRPr="003B7245" w:rsidRDefault="006625CF">
      <w:pPr>
        <w:rPr>
          <w:rFonts w:cs="Arial"/>
          <w:sz w:val="20"/>
          <w:szCs w:val="20"/>
        </w:rPr>
      </w:pPr>
      <w:r w:rsidRPr="003B7245">
        <w:rPr>
          <w:rFonts w:cs="Arial"/>
          <w:sz w:val="20"/>
          <w:szCs w:val="20"/>
        </w:rPr>
        <w:t>Stickinhalt direkt auf die Zunge geben, langsam zergehen lassen und schlucken.</w:t>
      </w:r>
    </w:p>
    <w:p w:rsidR="00EC616B" w:rsidRPr="003B7245" w:rsidRDefault="00EC616B">
      <w:pPr>
        <w:rPr>
          <w:rFonts w:cs="Arial"/>
          <w:sz w:val="20"/>
          <w:szCs w:val="20"/>
        </w:rPr>
      </w:pPr>
    </w:p>
    <w:p w:rsidR="00D3401F" w:rsidRPr="003B7245" w:rsidRDefault="00C956BC">
      <w:pPr>
        <w:rPr>
          <w:rFonts w:cs="Arial"/>
          <w:sz w:val="20"/>
          <w:szCs w:val="20"/>
        </w:rPr>
      </w:pPr>
      <w:r w:rsidRPr="003B7245">
        <w:rPr>
          <w:rFonts w:cs="Arial"/>
          <w:sz w:val="20"/>
          <w:szCs w:val="20"/>
        </w:rPr>
        <w:t>Packungseinheit</w:t>
      </w:r>
      <w:r w:rsidR="00D3401F" w:rsidRPr="003B7245">
        <w:rPr>
          <w:rFonts w:cs="Arial"/>
          <w:sz w:val="20"/>
          <w:szCs w:val="20"/>
        </w:rPr>
        <w:t>:</w:t>
      </w:r>
    </w:p>
    <w:p w:rsidR="00AF0954" w:rsidRPr="003B7245" w:rsidRDefault="00D3401F">
      <w:pPr>
        <w:rPr>
          <w:rFonts w:cs="Arial"/>
          <w:sz w:val="20"/>
          <w:szCs w:val="20"/>
        </w:rPr>
      </w:pPr>
      <w:r w:rsidRPr="003B7245">
        <w:rPr>
          <w:rFonts w:cs="Arial"/>
          <w:sz w:val="20"/>
          <w:szCs w:val="20"/>
        </w:rPr>
        <w:t xml:space="preserve">Packung: </w:t>
      </w:r>
      <w:r w:rsidR="00D76961" w:rsidRPr="003B7245">
        <w:rPr>
          <w:rFonts w:cs="Arial"/>
          <w:sz w:val="20"/>
          <w:szCs w:val="20"/>
        </w:rPr>
        <w:t>25</w:t>
      </w:r>
      <w:r w:rsidRPr="003B7245">
        <w:rPr>
          <w:rFonts w:cs="Arial"/>
          <w:sz w:val="20"/>
          <w:szCs w:val="20"/>
        </w:rPr>
        <w:t xml:space="preserve"> Portion</w:t>
      </w:r>
      <w:r w:rsidR="00EC616B" w:rsidRPr="003B7245">
        <w:rPr>
          <w:rFonts w:cs="Arial"/>
          <w:sz w:val="20"/>
          <w:szCs w:val="20"/>
        </w:rPr>
        <w:t>en</w:t>
      </w:r>
      <w:r w:rsidRPr="003B7245">
        <w:rPr>
          <w:rFonts w:cs="Arial"/>
          <w:sz w:val="20"/>
          <w:szCs w:val="20"/>
        </w:rPr>
        <w:t xml:space="preserve"> à </w:t>
      </w:r>
      <w:r w:rsidR="00B0692E" w:rsidRPr="003B7245">
        <w:rPr>
          <w:rFonts w:cs="Arial"/>
          <w:sz w:val="20"/>
          <w:szCs w:val="20"/>
        </w:rPr>
        <w:t>2,5</w:t>
      </w:r>
      <w:r w:rsidR="00EC616B" w:rsidRPr="003B7245">
        <w:rPr>
          <w:rFonts w:cs="Arial"/>
          <w:sz w:val="20"/>
          <w:szCs w:val="20"/>
        </w:rPr>
        <w:t xml:space="preserve"> g</w:t>
      </w:r>
    </w:p>
    <w:p w:rsidR="00D3401F" w:rsidRPr="003B7245" w:rsidRDefault="001F4408">
      <w:pPr>
        <w:rPr>
          <w:rFonts w:cs="Arial"/>
          <w:sz w:val="20"/>
          <w:szCs w:val="20"/>
        </w:rPr>
      </w:pPr>
      <w:r w:rsidRPr="003B7245">
        <w:rPr>
          <w:rFonts w:cs="Arial"/>
          <w:sz w:val="20"/>
          <w:szCs w:val="20"/>
        </w:rPr>
        <w:t xml:space="preserve">Typ: </w:t>
      </w:r>
      <w:r w:rsidR="00EC616B" w:rsidRPr="003B7245">
        <w:rPr>
          <w:rFonts w:cs="Arial"/>
          <w:sz w:val="20"/>
          <w:szCs w:val="20"/>
        </w:rPr>
        <w:t>Citrus</w:t>
      </w:r>
      <w:r w:rsidR="00B0692E" w:rsidRPr="003B7245">
        <w:rPr>
          <w:rFonts w:cs="Arial"/>
          <w:sz w:val="20"/>
          <w:szCs w:val="20"/>
        </w:rPr>
        <w:t xml:space="preserve"> Maracuja</w:t>
      </w:r>
    </w:p>
    <w:p w:rsidR="001F4408" w:rsidRPr="003B7245" w:rsidRDefault="001F4408">
      <w:pPr>
        <w:rPr>
          <w:rFonts w:cs="Arial"/>
          <w:sz w:val="20"/>
          <w:szCs w:val="20"/>
        </w:rPr>
      </w:pPr>
    </w:p>
    <w:p w:rsidR="00D3401F" w:rsidRPr="003B7245" w:rsidRDefault="00D3401F">
      <w:pPr>
        <w:rPr>
          <w:rFonts w:cs="Arial"/>
          <w:sz w:val="20"/>
          <w:szCs w:val="20"/>
        </w:rPr>
      </w:pPr>
    </w:p>
    <w:tbl>
      <w:tblPr>
        <w:tblW w:w="6475" w:type="dxa"/>
        <w:tblInd w:w="-65" w:type="dxa"/>
        <w:tblCellMar>
          <w:left w:w="70" w:type="dxa"/>
          <w:right w:w="70" w:type="dxa"/>
        </w:tblCellMar>
        <w:tblLook w:val="04A0" w:firstRow="1" w:lastRow="0" w:firstColumn="1" w:lastColumn="0" w:noHBand="0" w:noVBand="1"/>
      </w:tblPr>
      <w:tblGrid>
        <w:gridCol w:w="3700"/>
        <w:gridCol w:w="1357"/>
        <w:gridCol w:w="1418"/>
      </w:tblGrid>
      <w:tr w:rsidR="003C02FC" w:rsidRPr="003B7245" w:rsidTr="003C02FC">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FC" w:rsidRPr="003B7245" w:rsidRDefault="003C02FC" w:rsidP="000F5C88">
            <w:pPr>
              <w:ind w:firstLineChars="100" w:firstLine="201"/>
              <w:rPr>
                <w:rFonts w:eastAsia="Times New Roman" w:cs="Arial"/>
                <w:b/>
                <w:bCs/>
                <w:sz w:val="20"/>
                <w:szCs w:val="20"/>
                <w:lang w:eastAsia="de-DE"/>
              </w:rPr>
            </w:pPr>
            <w:r w:rsidRPr="003B7245">
              <w:rPr>
                <w:rFonts w:eastAsia="Times New Roman" w:cs="Arial"/>
                <w:b/>
                <w:bCs/>
                <w:sz w:val="20"/>
                <w:szCs w:val="20"/>
                <w:lang w:eastAsia="de-DE"/>
              </w:rPr>
              <w:t>Nährwert</w:t>
            </w:r>
            <w:r w:rsidR="00AF0954" w:rsidRPr="003B7245">
              <w:rPr>
                <w:rFonts w:eastAsia="Times New Roman" w:cs="Arial"/>
                <w:b/>
                <w:bCs/>
                <w:sz w:val="20"/>
                <w:szCs w:val="20"/>
                <w:lang w:eastAsia="de-DE"/>
              </w:rPr>
              <w:t>angaben</w:t>
            </w:r>
          </w:p>
        </w:tc>
        <w:tc>
          <w:tcPr>
            <w:tcW w:w="2775" w:type="dxa"/>
            <w:gridSpan w:val="2"/>
            <w:tcBorders>
              <w:top w:val="single" w:sz="4" w:space="0" w:color="auto"/>
              <w:left w:val="nil"/>
              <w:bottom w:val="single" w:sz="4" w:space="0" w:color="auto"/>
              <w:right w:val="single" w:sz="4" w:space="0" w:color="000000"/>
            </w:tcBorders>
            <w:shd w:val="clear" w:color="auto" w:fill="auto"/>
            <w:vAlign w:val="center"/>
            <w:hideMark/>
          </w:tcPr>
          <w:p w:rsidR="003C02FC" w:rsidRPr="003B7245" w:rsidRDefault="003C02FC" w:rsidP="000F5C88">
            <w:pPr>
              <w:jc w:val="center"/>
              <w:rPr>
                <w:rFonts w:eastAsia="Times New Roman" w:cs="Arial"/>
                <w:sz w:val="20"/>
                <w:szCs w:val="20"/>
                <w:lang w:eastAsia="de-DE"/>
              </w:rPr>
            </w:pPr>
          </w:p>
        </w:tc>
      </w:tr>
      <w:tr w:rsidR="003C02FC" w:rsidRPr="003B7245" w:rsidTr="003C02FC">
        <w:trPr>
          <w:trHeight w:val="39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FC" w:rsidRPr="003B7245" w:rsidRDefault="003C02FC" w:rsidP="000F5C88">
            <w:pPr>
              <w:ind w:firstLineChars="100" w:firstLine="200"/>
              <w:rPr>
                <w:rFonts w:eastAsia="Times New Roman" w:cs="Arial"/>
                <w:sz w:val="20"/>
                <w:szCs w:val="20"/>
                <w:lang w:eastAsia="de-DE"/>
              </w:rPr>
            </w:pPr>
            <w:r w:rsidRPr="003B7245">
              <w:rPr>
                <w:rFonts w:eastAsia="Times New Roman" w:cs="Arial"/>
                <w:sz w:val="20"/>
                <w:szCs w:val="20"/>
                <w:lang w:eastAsia="de-DE"/>
              </w:rPr>
              <w:t>Vitamine/Mineralstoffe</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3C02FC" w:rsidRPr="003B7245" w:rsidRDefault="003C02FC" w:rsidP="000F5C88">
            <w:pPr>
              <w:jc w:val="center"/>
              <w:rPr>
                <w:rFonts w:eastAsia="Times New Roman" w:cs="Arial"/>
                <w:sz w:val="20"/>
                <w:szCs w:val="20"/>
                <w:lang w:eastAsia="de-DE"/>
              </w:rPr>
            </w:pPr>
            <w:r w:rsidRPr="003B7245">
              <w:rPr>
                <w:rFonts w:eastAsia="Times New Roman" w:cs="Arial"/>
                <w:sz w:val="20"/>
                <w:szCs w:val="20"/>
                <w:lang w:eastAsia="de-DE"/>
              </w:rPr>
              <w:t>pro Portion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C02FC" w:rsidRPr="003B7245" w:rsidRDefault="003C02FC" w:rsidP="000F5C88">
            <w:pPr>
              <w:jc w:val="center"/>
              <w:rPr>
                <w:rFonts w:eastAsia="Times New Roman" w:cs="Arial"/>
                <w:sz w:val="20"/>
                <w:szCs w:val="20"/>
                <w:lang w:eastAsia="de-DE"/>
              </w:rPr>
            </w:pPr>
            <w:r w:rsidRPr="003B7245">
              <w:rPr>
                <w:rFonts w:eastAsia="Times New Roman" w:cs="Arial"/>
                <w:sz w:val="20"/>
                <w:szCs w:val="20"/>
                <w:lang w:eastAsia="de-DE"/>
              </w:rPr>
              <w:t>%*</w:t>
            </w:r>
          </w:p>
        </w:tc>
      </w:tr>
      <w:tr w:rsidR="003C02FC" w:rsidRPr="003B7245" w:rsidTr="003C02FC">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FC" w:rsidRPr="003B7245" w:rsidRDefault="003C02FC" w:rsidP="002407D0">
            <w:pPr>
              <w:ind w:firstLineChars="100" w:firstLine="200"/>
              <w:rPr>
                <w:rFonts w:eastAsia="Times New Roman" w:cs="Arial"/>
                <w:sz w:val="20"/>
                <w:szCs w:val="20"/>
                <w:lang w:eastAsia="de-DE"/>
              </w:rPr>
            </w:pPr>
            <w:r w:rsidRPr="003B7245">
              <w:rPr>
                <w:rFonts w:eastAsia="Times New Roman" w:cs="Arial"/>
                <w:sz w:val="20"/>
                <w:szCs w:val="20"/>
                <w:lang w:eastAsia="de-DE"/>
              </w:rPr>
              <w:t>Magnesium [mg]</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3C02FC" w:rsidRPr="003B7245" w:rsidRDefault="00B0692E" w:rsidP="003C02FC">
            <w:pPr>
              <w:jc w:val="center"/>
              <w:rPr>
                <w:rFonts w:eastAsia="Times New Roman" w:cs="Arial"/>
                <w:sz w:val="20"/>
                <w:szCs w:val="20"/>
                <w:lang w:eastAsia="de-DE"/>
              </w:rPr>
            </w:pPr>
            <w:r w:rsidRPr="003B7245">
              <w:rPr>
                <w:rFonts w:eastAsia="Times New Roman" w:cs="Arial"/>
                <w:sz w:val="20"/>
                <w:szCs w:val="20"/>
                <w:lang w:eastAsia="de-DE"/>
              </w:rPr>
              <w:t>40</w:t>
            </w:r>
            <w:r w:rsidR="003C02FC" w:rsidRPr="003B7245">
              <w:rPr>
                <w:rFonts w:eastAsia="Times New Roman" w:cs="Arial"/>
                <w:sz w:val="20"/>
                <w:szCs w:val="20"/>
                <w:lang w:eastAsia="de-DE"/>
              </w:rPr>
              <w:t>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C02FC" w:rsidRPr="003B7245" w:rsidRDefault="00B0692E" w:rsidP="003C02FC">
            <w:pPr>
              <w:jc w:val="center"/>
              <w:rPr>
                <w:rFonts w:eastAsia="Times New Roman" w:cs="Arial"/>
                <w:sz w:val="20"/>
                <w:szCs w:val="20"/>
                <w:lang w:eastAsia="de-DE"/>
              </w:rPr>
            </w:pPr>
            <w:r w:rsidRPr="003B7245">
              <w:rPr>
                <w:rFonts w:eastAsia="Times New Roman" w:cs="Arial"/>
                <w:sz w:val="20"/>
                <w:szCs w:val="20"/>
                <w:lang w:eastAsia="de-DE"/>
              </w:rPr>
              <w:t>107</w:t>
            </w:r>
          </w:p>
        </w:tc>
      </w:tr>
    </w:tbl>
    <w:p w:rsidR="00C00BF6" w:rsidRPr="00C00BF6" w:rsidRDefault="00C00BF6" w:rsidP="00C00BF6">
      <w:pPr>
        <w:rPr>
          <w:sz w:val="16"/>
          <w:szCs w:val="16"/>
        </w:rPr>
      </w:pPr>
      <w:r w:rsidRPr="00C00BF6">
        <w:rPr>
          <w:sz w:val="16"/>
          <w:szCs w:val="16"/>
        </w:rPr>
        <w:t>* % der Referenzmenge gemäß VO (EU) Nr. 1169/2011</w:t>
      </w:r>
    </w:p>
    <w:p w:rsidR="000F5C88" w:rsidRDefault="000F5C88"/>
    <w:p w:rsidR="00CF0AB3" w:rsidRDefault="00CF0AB3"/>
    <w:p w:rsidR="00CF0AB3" w:rsidRPr="00CF0AB3" w:rsidRDefault="00CF0AB3">
      <w:pPr>
        <w:rPr>
          <w:sz w:val="16"/>
          <w:szCs w:val="16"/>
        </w:rPr>
      </w:pPr>
      <w:r w:rsidRPr="00CF0AB3">
        <w:rPr>
          <w:sz w:val="16"/>
          <w:szCs w:val="16"/>
        </w:rPr>
        <w:t>Hinweis zu Nahrung</w:t>
      </w:r>
      <w:r w:rsidR="00B0692E">
        <w:rPr>
          <w:sz w:val="16"/>
          <w:szCs w:val="16"/>
        </w:rPr>
        <w:t>s</w:t>
      </w:r>
      <w:r w:rsidRPr="00CF0AB3">
        <w:rPr>
          <w:sz w:val="16"/>
          <w:szCs w:val="16"/>
        </w:rPr>
        <w:t>ergänzungsmitteln:</w:t>
      </w:r>
    </w:p>
    <w:p w:rsidR="00CF0AB3" w:rsidRPr="00CF0AB3" w:rsidRDefault="00CF0AB3" w:rsidP="00E80291">
      <w:pPr>
        <w:tabs>
          <w:tab w:val="left" w:pos="8325"/>
        </w:tabs>
        <w:rPr>
          <w:sz w:val="16"/>
          <w:szCs w:val="16"/>
        </w:rPr>
      </w:pPr>
      <w:r w:rsidRPr="00CF0AB3">
        <w:rPr>
          <w:sz w:val="16"/>
          <w:szCs w:val="16"/>
        </w:rPr>
        <w:t>Achten Sie zusätzlich auf eine abwechslungsreiche, ausgewogene Ernährung und eine gesunde Lebensweise.</w:t>
      </w:r>
    </w:p>
    <w:sectPr w:rsidR="00CF0AB3" w:rsidRPr="00CF0AB3" w:rsidSect="000F5C88">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F2" w:rsidRDefault="000B43F2" w:rsidP="000B43F2">
      <w:r>
        <w:separator/>
      </w:r>
    </w:p>
  </w:endnote>
  <w:endnote w:type="continuationSeparator" w:id="0">
    <w:p w:rsidR="000B43F2" w:rsidRDefault="000B43F2" w:rsidP="000B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4C7" w:rsidRPr="000B43F2" w:rsidRDefault="000824C7" w:rsidP="000824C7">
    <w:pPr>
      <w:pStyle w:val="Fuzeile"/>
      <w:jc w:val="right"/>
      <w:rPr>
        <w:sz w:val="12"/>
        <w:szCs w:val="12"/>
      </w:rPr>
    </w:pPr>
    <w:r>
      <w:rPr>
        <w:sz w:val="12"/>
        <w:szCs w:val="12"/>
      </w:rPr>
      <w:t>Stand</w:t>
    </w:r>
    <w:r w:rsidR="00532140">
      <w:rPr>
        <w:sz w:val="12"/>
        <w:szCs w:val="12"/>
      </w:rPr>
      <w:t xml:space="preserve">: </w:t>
    </w:r>
    <w:r w:rsidR="003B7245">
      <w:rPr>
        <w:sz w:val="12"/>
        <w:szCs w:val="12"/>
      </w:rPr>
      <w:t>Mai 2025</w:t>
    </w:r>
  </w:p>
  <w:p w:rsidR="000B43F2" w:rsidRPr="000824C7" w:rsidRDefault="000B43F2" w:rsidP="000824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F2" w:rsidRDefault="000B43F2" w:rsidP="000B43F2">
      <w:r>
        <w:separator/>
      </w:r>
    </w:p>
  </w:footnote>
  <w:footnote w:type="continuationSeparator" w:id="0">
    <w:p w:rsidR="000B43F2" w:rsidRDefault="000B43F2" w:rsidP="000B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245" w:rsidRDefault="003B7245" w:rsidP="003B7245">
    <w:pPr>
      <w:pStyle w:val="Kopfzeile"/>
      <w:jc w:val="right"/>
    </w:pPr>
    <w:r>
      <w:rPr>
        <w:noProof/>
      </w:rPr>
      <w:drawing>
        <wp:inline distT="0" distB="0" distL="0" distR="0" wp14:anchorId="3CD7B515" wp14:editId="3A4ABCDF">
          <wp:extent cx="2662929" cy="624543"/>
          <wp:effectExtent l="0" t="0" r="444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8564"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723A"/>
    <w:multiLevelType w:val="hybridMultilevel"/>
    <w:tmpl w:val="9B58E890"/>
    <w:lvl w:ilvl="0" w:tplc="E782F3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552A64"/>
    <w:multiLevelType w:val="hybridMultilevel"/>
    <w:tmpl w:val="B6F460CE"/>
    <w:lvl w:ilvl="0" w:tplc="816C798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A24F1C"/>
    <w:multiLevelType w:val="hybridMultilevel"/>
    <w:tmpl w:val="DC4023D0"/>
    <w:lvl w:ilvl="0" w:tplc="583693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88"/>
    <w:rsid w:val="000824C7"/>
    <w:rsid w:val="000B43F2"/>
    <w:rsid w:val="000F5C88"/>
    <w:rsid w:val="001219DC"/>
    <w:rsid w:val="001B1480"/>
    <w:rsid w:val="001F4408"/>
    <w:rsid w:val="00220FFF"/>
    <w:rsid w:val="002407D0"/>
    <w:rsid w:val="00377142"/>
    <w:rsid w:val="003A415C"/>
    <w:rsid w:val="003B7245"/>
    <w:rsid w:val="003C02FC"/>
    <w:rsid w:val="00482D44"/>
    <w:rsid w:val="00524074"/>
    <w:rsid w:val="00532140"/>
    <w:rsid w:val="005B5E02"/>
    <w:rsid w:val="006625CF"/>
    <w:rsid w:val="006A1256"/>
    <w:rsid w:val="007D67B1"/>
    <w:rsid w:val="00956919"/>
    <w:rsid w:val="00A95ABC"/>
    <w:rsid w:val="00AF0954"/>
    <w:rsid w:val="00B0692E"/>
    <w:rsid w:val="00C00BF6"/>
    <w:rsid w:val="00C13432"/>
    <w:rsid w:val="00C72EE1"/>
    <w:rsid w:val="00C956BC"/>
    <w:rsid w:val="00CF0AB3"/>
    <w:rsid w:val="00D30A79"/>
    <w:rsid w:val="00D3401F"/>
    <w:rsid w:val="00D76961"/>
    <w:rsid w:val="00D86051"/>
    <w:rsid w:val="00E80291"/>
    <w:rsid w:val="00EC53B7"/>
    <w:rsid w:val="00EC616B"/>
    <w:rsid w:val="00EC6DD6"/>
    <w:rsid w:val="00F00CC9"/>
    <w:rsid w:val="00F603B6"/>
    <w:rsid w:val="00F93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3DA8"/>
  <w15:docId w15:val="{7570B9A3-B68D-4195-97C4-25F3DED3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EC53B7"/>
    <w:pPr>
      <w:framePr w:w="4320" w:h="2160" w:hRule="exact" w:hSpace="141" w:wrap="auto" w:hAnchor="page" w:xAlign="center" w:yAlign="bottom"/>
      <w:ind w:left="1"/>
    </w:pPr>
    <w:rPr>
      <w:rFonts w:eastAsiaTheme="majorEastAsia" w:cstheme="majorBidi"/>
      <w:sz w:val="24"/>
      <w:szCs w:val="24"/>
    </w:rPr>
  </w:style>
  <w:style w:type="paragraph" w:styleId="Sprechblasentext">
    <w:name w:val="Balloon Text"/>
    <w:basedOn w:val="Standard"/>
    <w:link w:val="SprechblasentextZchn"/>
    <w:uiPriority w:val="99"/>
    <w:semiHidden/>
    <w:unhideWhenUsed/>
    <w:rsid w:val="000F5C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5C88"/>
    <w:rPr>
      <w:rFonts w:ascii="Tahoma" w:hAnsi="Tahoma" w:cs="Tahoma"/>
      <w:sz w:val="16"/>
      <w:szCs w:val="16"/>
    </w:rPr>
  </w:style>
  <w:style w:type="paragraph" w:styleId="Listenabsatz">
    <w:name w:val="List Paragraph"/>
    <w:basedOn w:val="Standard"/>
    <w:uiPriority w:val="34"/>
    <w:qFormat/>
    <w:rsid w:val="00C00BF6"/>
    <w:pPr>
      <w:ind w:left="720"/>
      <w:contextualSpacing/>
    </w:pPr>
  </w:style>
  <w:style w:type="paragraph" w:styleId="Kopfzeile">
    <w:name w:val="header"/>
    <w:basedOn w:val="Standard"/>
    <w:link w:val="KopfzeileZchn"/>
    <w:uiPriority w:val="99"/>
    <w:unhideWhenUsed/>
    <w:rsid w:val="000B43F2"/>
    <w:pPr>
      <w:tabs>
        <w:tab w:val="center" w:pos="4536"/>
        <w:tab w:val="right" w:pos="9072"/>
      </w:tabs>
    </w:pPr>
  </w:style>
  <w:style w:type="character" w:customStyle="1" w:styleId="KopfzeileZchn">
    <w:name w:val="Kopfzeile Zchn"/>
    <w:basedOn w:val="Absatz-Standardschriftart"/>
    <w:link w:val="Kopfzeile"/>
    <w:uiPriority w:val="99"/>
    <w:rsid w:val="000B43F2"/>
  </w:style>
  <w:style w:type="paragraph" w:styleId="Fuzeile">
    <w:name w:val="footer"/>
    <w:basedOn w:val="Standard"/>
    <w:link w:val="FuzeileZchn"/>
    <w:uiPriority w:val="99"/>
    <w:unhideWhenUsed/>
    <w:rsid w:val="000B43F2"/>
    <w:pPr>
      <w:tabs>
        <w:tab w:val="center" w:pos="4536"/>
        <w:tab w:val="right" w:pos="9072"/>
      </w:tabs>
    </w:pPr>
  </w:style>
  <w:style w:type="character" w:customStyle="1" w:styleId="FuzeileZchn">
    <w:name w:val="Fußzeile Zchn"/>
    <w:basedOn w:val="Absatz-Standardschriftart"/>
    <w:link w:val="Fuzeile"/>
    <w:uiPriority w:val="99"/>
    <w:rsid w:val="000B43F2"/>
  </w:style>
  <w:style w:type="character" w:customStyle="1" w:styleId="d2edcug0">
    <w:name w:val="d2edcug0"/>
    <w:basedOn w:val="Absatz-Standardschriftart"/>
    <w:rsid w:val="00F0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9304">
      <w:bodyDiv w:val="1"/>
      <w:marLeft w:val="0"/>
      <w:marRight w:val="0"/>
      <w:marTop w:val="0"/>
      <w:marBottom w:val="0"/>
      <w:divBdr>
        <w:top w:val="none" w:sz="0" w:space="0" w:color="auto"/>
        <w:left w:val="none" w:sz="0" w:space="0" w:color="auto"/>
        <w:bottom w:val="none" w:sz="0" w:space="0" w:color="auto"/>
        <w:right w:val="none" w:sz="0" w:space="0" w:color="auto"/>
      </w:divBdr>
    </w:div>
    <w:div w:id="11250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1401-7969-4A33-8A0C-580309AF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Verla-Pharm Arzneimittel GmbH &amp; Co.KG</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Riewendt Nadja</dc:creator>
  <cp:lastModifiedBy>Riewendt Nadja</cp:lastModifiedBy>
  <cp:revision>2</cp:revision>
  <cp:lastPrinted>2017-11-08T07:25:00Z</cp:lastPrinted>
  <dcterms:created xsi:type="dcterms:W3CDTF">2025-05-08T12:54:00Z</dcterms:created>
  <dcterms:modified xsi:type="dcterms:W3CDTF">2025-05-08T12:54:00Z</dcterms:modified>
</cp:coreProperties>
</file>